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E6" w:rsidRPr="00A412E6" w:rsidRDefault="00A412E6" w:rsidP="00FF78F5">
      <w:pPr>
        <w:suppressAutoHyphens/>
        <w:ind w:firstLine="0"/>
        <w:jc w:val="center"/>
        <w:rPr>
          <w:rFonts w:ascii="Times New Roman" w:hAnsi="Times New Roman"/>
          <w:b/>
          <w:sz w:val="28"/>
        </w:rPr>
      </w:pPr>
      <w:r w:rsidRPr="00A412E6">
        <w:rPr>
          <w:rFonts w:ascii="Times New Roman" w:hAnsi="Times New Roman"/>
          <w:b/>
          <w:sz w:val="28"/>
        </w:rPr>
        <w:t>СПИСОК</w:t>
      </w:r>
    </w:p>
    <w:p w:rsidR="00A412E6" w:rsidRPr="00A412E6" w:rsidRDefault="00A412E6" w:rsidP="00A412E6">
      <w:pPr>
        <w:suppressAutoHyphens/>
        <w:ind w:firstLine="0"/>
        <w:jc w:val="center"/>
      </w:pPr>
      <w:r w:rsidRPr="00A412E6">
        <w:rPr>
          <w:rFonts w:ascii="Times New Roman" w:hAnsi="Times New Roman"/>
          <w:sz w:val="28"/>
          <w:szCs w:val="28"/>
        </w:rPr>
        <w:t xml:space="preserve">информационных ресурсов </w:t>
      </w:r>
      <w:r w:rsidRPr="00A412E6"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FF6095" w:rsidRPr="00FF6095" w:rsidRDefault="00FF6095" w:rsidP="00FF6095">
      <w:pPr>
        <w:suppressAutoHyphens/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FF6095">
        <w:rPr>
          <w:rFonts w:ascii="Times New Roman" w:hAnsi="Times New Roman"/>
          <w:b/>
          <w:sz w:val="28"/>
          <w:szCs w:val="28"/>
        </w:rPr>
        <w:t xml:space="preserve"> «</w:t>
      </w:r>
      <w:r w:rsidR="00FF78F5">
        <w:rPr>
          <w:rFonts w:ascii="Times New Roman" w:hAnsi="Times New Roman"/>
          <w:b/>
          <w:i/>
          <w:sz w:val="28"/>
          <w:szCs w:val="28"/>
        </w:rPr>
        <w:t xml:space="preserve">Медийно-информационная компетентность </w:t>
      </w:r>
      <w:r w:rsidRPr="00FF6095">
        <w:rPr>
          <w:rFonts w:ascii="Times New Roman" w:hAnsi="Times New Roman"/>
          <w:b/>
          <w:i/>
          <w:sz w:val="28"/>
          <w:szCs w:val="28"/>
        </w:rPr>
        <w:t>в</w:t>
      </w:r>
      <w:r w:rsidR="00FF78F5">
        <w:rPr>
          <w:rFonts w:ascii="Times New Roman" w:hAnsi="Times New Roman"/>
          <w:b/>
          <w:i/>
          <w:sz w:val="28"/>
          <w:szCs w:val="28"/>
        </w:rPr>
        <w:t xml:space="preserve"> сфере </w:t>
      </w:r>
      <w:bookmarkStart w:id="0" w:name="_GoBack"/>
      <w:bookmarkEnd w:id="0"/>
      <w:r w:rsidRPr="00FF6095">
        <w:rPr>
          <w:rFonts w:ascii="Times New Roman" w:hAnsi="Times New Roman"/>
          <w:b/>
          <w:i/>
          <w:sz w:val="28"/>
          <w:szCs w:val="28"/>
        </w:rPr>
        <w:t xml:space="preserve"> спорте»</w:t>
      </w:r>
    </w:p>
    <w:p w:rsidR="00FF6095" w:rsidRPr="00FF6095" w:rsidRDefault="00FF6095" w:rsidP="00FF6095">
      <w:pPr>
        <w:suppressAutoHyphens/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58"/>
        <w:gridCol w:w="1712"/>
        <w:gridCol w:w="1792"/>
        <w:gridCol w:w="1904"/>
        <w:gridCol w:w="2200"/>
        <w:gridCol w:w="1067"/>
      </w:tblGrid>
      <w:tr w:rsidR="00FF6095" w:rsidRPr="00FF6095" w:rsidTr="001D2E23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Основная литература</w:t>
            </w:r>
          </w:p>
        </w:tc>
      </w:tr>
      <w:tr w:rsidR="00FF6095" w:rsidRPr="00FF6095" w:rsidTr="001D2E23">
        <w:trPr>
          <w:trHeight w:hRule="exact" w:val="283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3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</w:tr>
      <w:tr w:rsidR="00FF6095" w:rsidRPr="00FF6095" w:rsidTr="001D2E23">
        <w:trPr>
          <w:trHeight w:hRule="exact" w:val="9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Развитие критического мышления и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медиакомпетентности студентов в процессе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анализа прессы: учебное пособие для вузов: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учебное пособие</w:t>
            </w:r>
          </w:p>
        </w:tc>
        <w:tc>
          <w:tcPr>
            <w:tcW w:w="3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Таганрог: НП «Центр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развития личности», 2008</w:t>
            </w:r>
          </w:p>
        </w:tc>
      </w:tr>
      <w:tr w:rsidR="00FF6095" w:rsidRPr="00FF6095" w:rsidTr="001D2E23">
        <w:trPr>
          <w:trHeight w:hRule="exact" w:val="9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Челышева, И.В.,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Научно-образовательный центр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«Медиаобразование и медиакомпетентность»: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подготовка будущих педагогов: монография</w:t>
            </w:r>
          </w:p>
        </w:tc>
        <w:tc>
          <w:tcPr>
            <w:tcW w:w="3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Таганрог: Таганрогский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государственный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педагогический институт,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2010</w:t>
            </w:r>
          </w:p>
        </w:tc>
      </w:tr>
      <w:tr w:rsidR="00FF6095" w:rsidRPr="00FF6095" w:rsidTr="001D2E23">
        <w:trPr>
          <w:trHeight w:hRule="exact" w:val="9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Е.В.,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Федоров, А.В.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Научно-образовательный центр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«Медиаобразование и медиакомпетентность»: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работа со студентами и аспирантами: учебное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</w:p>
        </w:tc>
        <w:tc>
          <w:tcPr>
            <w:tcW w:w="3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Таганрог: Таганрогский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государственный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педагогический институт,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2011</w:t>
            </w:r>
          </w:p>
        </w:tc>
      </w:tr>
      <w:tr w:rsidR="00FF6095" w:rsidRPr="00FF6095" w:rsidTr="001D2E23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 литература</w:t>
            </w:r>
          </w:p>
        </w:tc>
      </w:tr>
      <w:tr w:rsidR="00FF6095" w:rsidRPr="00FF6095" w:rsidTr="001D2E23">
        <w:trPr>
          <w:trHeight w:hRule="exact" w:val="283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3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</w:tr>
      <w:tr w:rsidR="00FF6095" w:rsidRPr="00FF6095" w:rsidTr="001D2E23">
        <w:trPr>
          <w:trHeight w:hRule="exact" w:val="488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Челышева, И.В.,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Зарубежное медиаобразование: современные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тенденции развития: монография</w:t>
            </w:r>
          </w:p>
        </w:tc>
        <w:tc>
          <w:tcPr>
            <w:tcW w:w="3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Москва, Берлин: Директ-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Медиа, 2018</w:t>
            </w:r>
          </w:p>
        </w:tc>
      </w:tr>
      <w:tr w:rsidR="00FF6095" w:rsidRPr="00FF6095" w:rsidTr="001D2E23">
        <w:trPr>
          <w:trHeight w:hRule="exact" w:val="9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Челышева, И.В.,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Развитие медиакомпетентности: работа со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студентами и преподавателями вузов: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монография</w:t>
            </w:r>
          </w:p>
        </w:tc>
        <w:tc>
          <w:tcPr>
            <w:tcW w:w="3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Таганрог: Таганрогский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государственный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педагогический институт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имени А. П. Чехова, 2014</w:t>
            </w:r>
          </w:p>
        </w:tc>
      </w:tr>
      <w:tr w:rsidR="00FF6095" w:rsidRPr="00FF6095" w:rsidTr="001D2E23">
        <w:trPr>
          <w:trHeight w:hRule="exact" w:val="9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Л2.3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Е.В.,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Челышева, И.В.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Игровые технологии: теория и практика: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монография</w:t>
            </w:r>
          </w:p>
        </w:tc>
        <w:tc>
          <w:tcPr>
            <w:tcW w:w="3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Таганрог: Таганрогский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государственный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педагогический институт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имени А. П. Чехова, 2013</w:t>
            </w:r>
          </w:p>
        </w:tc>
      </w:tr>
      <w:tr w:rsidR="00FF6095" w:rsidRPr="00FF6095" w:rsidTr="001D2E23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Методические разработки</w:t>
            </w:r>
          </w:p>
        </w:tc>
      </w:tr>
      <w:tr w:rsidR="00FF6095" w:rsidRPr="00FF6095" w:rsidTr="001D2E23">
        <w:trPr>
          <w:trHeight w:hRule="exact" w:val="283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3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</w:tr>
      <w:tr w:rsidR="00FF6095" w:rsidRPr="00FF6095" w:rsidTr="001D2E23">
        <w:trPr>
          <w:trHeight w:hRule="exact" w:val="71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Николаева, Л.П.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Методические рекомендации по организации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самостоятельной работы студентов: учебно-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методическое пособие</w:t>
            </w:r>
          </w:p>
        </w:tc>
        <w:tc>
          <w:tcPr>
            <w:tcW w:w="3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Москва: Российский</w:t>
            </w:r>
            <w:r w:rsidRPr="00FF6095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новый университет, 2008</w:t>
            </w:r>
          </w:p>
        </w:tc>
      </w:tr>
      <w:tr w:rsidR="00FF6095" w:rsidRPr="00FF6095" w:rsidTr="001D2E23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 ресурсов информационно-телекоммуникационной сети "Интернет"</w:t>
            </w:r>
          </w:p>
        </w:tc>
      </w:tr>
      <w:tr w:rsidR="00FF6095" w:rsidRPr="00FF6095" w:rsidTr="001D2E23">
        <w:trPr>
          <w:trHeight w:hRule="exact" w:val="283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87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Библиотека Гумер − гуманитарные науки http://www.gumer.info/</w:t>
            </w:r>
          </w:p>
        </w:tc>
      </w:tr>
      <w:tr w:rsidR="00FF6095" w:rsidRPr="00FF6095" w:rsidTr="001D2E23">
        <w:trPr>
          <w:trHeight w:hRule="exact" w:val="284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87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Мировая цифровая библиотека http://www.wdl.org/ru</w:t>
            </w:r>
          </w:p>
        </w:tc>
      </w:tr>
      <w:tr w:rsidR="00FF6095" w:rsidRPr="00FF6095" w:rsidTr="001D2E23">
        <w:trPr>
          <w:trHeight w:hRule="exact" w:val="283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Э3</w:t>
            </w:r>
          </w:p>
        </w:tc>
        <w:tc>
          <w:tcPr>
            <w:tcW w:w="87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Электронная библиотека www.biblioclub.ru</w:t>
            </w:r>
          </w:p>
        </w:tc>
      </w:tr>
      <w:tr w:rsidR="00FF6095" w:rsidRPr="00FF6095" w:rsidTr="001D2E23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Перечень информационных технологий</w:t>
            </w:r>
          </w:p>
        </w:tc>
      </w:tr>
      <w:tr w:rsidR="00FF6095" w:rsidRPr="00FF6095" w:rsidTr="001D2E23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Перечень программного обеспечения</w:t>
            </w:r>
          </w:p>
        </w:tc>
      </w:tr>
      <w:tr w:rsidR="00FF6095" w:rsidRPr="00FF6095" w:rsidTr="001D2E23">
        <w:trPr>
          <w:trHeight w:hRule="exact" w:val="294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DsktpEdu ALNG LicSAPk OLV E</w:t>
            </w:r>
          </w:p>
        </w:tc>
      </w:tr>
      <w:tr w:rsidR="00FF6095" w:rsidRPr="00FF6095" w:rsidTr="001D2E23">
        <w:trPr>
          <w:trHeight w:hRule="exact" w:val="294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0365ProPlusOpenStudents ShrdSvr ALNG SubsVL OLV NL 1Mth Acdmc Stdnt w/Faculty</w:t>
            </w:r>
          </w:p>
        </w:tc>
      </w:tr>
      <w:tr w:rsidR="00FF6095" w:rsidRPr="00FF6095" w:rsidTr="001D2E23">
        <w:trPr>
          <w:trHeight w:hRule="exact" w:val="294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6.3.1.3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WinRmtDsktpSrvcsCAL ALNG LicSAPk OLV E 1Y Acdmc AP UsrCAL</w:t>
            </w:r>
          </w:p>
        </w:tc>
      </w:tr>
      <w:tr w:rsidR="00FF6095" w:rsidRPr="00FF6095" w:rsidTr="001D2E23">
        <w:trPr>
          <w:trHeight w:hRule="exact" w:val="285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6.3.1.4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WinRmtDsktpSrvcsCAL ALNG LicSAPk OLV E 1Y Acdmc AP DvcCAL</w:t>
            </w:r>
          </w:p>
        </w:tc>
      </w:tr>
      <w:tr w:rsidR="00FF6095" w:rsidRPr="00FF6095" w:rsidTr="001D2E23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Перечень информационных справочных систем, профессиональные базы данных</w:t>
            </w:r>
          </w:p>
        </w:tc>
      </w:tr>
      <w:tr w:rsidR="00FF6095" w:rsidRPr="00FF6095" w:rsidTr="001D2E23">
        <w:trPr>
          <w:trHeight w:hRule="exact" w:val="285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6.3.2.1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Научная электронная библиотека: elibrary.ru</w:t>
            </w:r>
          </w:p>
        </w:tc>
      </w:tr>
      <w:tr w:rsidR="00FF6095" w:rsidRPr="00FF6095" w:rsidTr="001D2E23">
        <w:trPr>
          <w:trHeight w:hRule="exact" w:val="285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6.3.2.2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База данных полнотекстовых научных работ "Академия Google": scholar.google.ru</w:t>
            </w:r>
          </w:p>
        </w:tc>
      </w:tr>
      <w:tr w:rsidR="00FF6095" w:rsidRPr="00FF6095" w:rsidTr="001D2E23">
        <w:trPr>
          <w:trHeight w:hRule="exact" w:val="285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6.3.2.3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6095" w:rsidRPr="00FF6095" w:rsidRDefault="00FF6095" w:rsidP="00FF6095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FF6095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Консультант Плюс www.consultant.ru</w:t>
            </w:r>
          </w:p>
        </w:tc>
      </w:tr>
      <w:tr w:rsidR="00FF6095" w:rsidRPr="00FF6095" w:rsidTr="001D2E23">
        <w:trPr>
          <w:gridAfter w:val="1"/>
          <w:wAfter w:w="1067" w:type="dxa"/>
          <w:trHeight w:hRule="exact" w:val="284"/>
        </w:trPr>
        <w:tc>
          <w:tcPr>
            <w:tcW w:w="690" w:type="dxa"/>
          </w:tcPr>
          <w:p w:rsidR="00FF6095" w:rsidRPr="00FF6095" w:rsidRDefault="00FF6095" w:rsidP="00FF6095">
            <w:pPr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  <w:tc>
          <w:tcPr>
            <w:tcW w:w="58" w:type="dxa"/>
          </w:tcPr>
          <w:p w:rsidR="00FF6095" w:rsidRPr="00FF6095" w:rsidRDefault="00FF6095" w:rsidP="00FF6095">
            <w:pPr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  <w:tc>
          <w:tcPr>
            <w:tcW w:w="1712" w:type="dxa"/>
          </w:tcPr>
          <w:p w:rsidR="00FF6095" w:rsidRPr="00FF6095" w:rsidRDefault="00FF6095" w:rsidP="00FF6095">
            <w:pPr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  <w:tc>
          <w:tcPr>
            <w:tcW w:w="1792" w:type="dxa"/>
          </w:tcPr>
          <w:p w:rsidR="00FF6095" w:rsidRPr="00FF6095" w:rsidRDefault="00FF6095" w:rsidP="00FF6095">
            <w:pPr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  <w:tc>
          <w:tcPr>
            <w:tcW w:w="1904" w:type="dxa"/>
          </w:tcPr>
          <w:p w:rsidR="00FF6095" w:rsidRPr="00FF6095" w:rsidRDefault="00FF6095" w:rsidP="00FF6095">
            <w:pPr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  <w:tc>
          <w:tcPr>
            <w:tcW w:w="2200" w:type="dxa"/>
          </w:tcPr>
          <w:p w:rsidR="00FF6095" w:rsidRPr="00FF6095" w:rsidRDefault="00FF6095" w:rsidP="00FF6095">
            <w:pPr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</w:tr>
    </w:tbl>
    <w:p w:rsidR="00FF6095" w:rsidRPr="00FF6095" w:rsidRDefault="00FF6095" w:rsidP="00FF6095">
      <w:pPr>
        <w:autoSpaceDN/>
        <w:spacing w:after="200" w:line="276" w:lineRule="auto"/>
        <w:ind w:firstLine="0"/>
        <w:jc w:val="left"/>
        <w:textAlignment w:val="auto"/>
        <w:rPr>
          <w:rFonts w:asciiTheme="minorHAnsi" w:eastAsiaTheme="minorEastAsia" w:hAnsiTheme="minorHAnsi" w:cstheme="minorBidi"/>
          <w:sz w:val="0"/>
          <w:szCs w:val="0"/>
          <w:lang w:val="en-US"/>
        </w:rPr>
      </w:pPr>
    </w:p>
    <w:p w:rsidR="00FF6095" w:rsidRDefault="00FF6095" w:rsidP="00A412E6">
      <w:pPr>
        <w:ind w:firstLine="0"/>
        <w:rPr>
          <w:rFonts w:ascii="Times New Roman" w:hAnsi="Times New Roman"/>
          <w:sz w:val="28"/>
          <w:szCs w:val="28"/>
        </w:rPr>
      </w:pPr>
    </w:p>
    <w:p w:rsidR="00FF6095" w:rsidRPr="00FF6095" w:rsidRDefault="00FF6095" w:rsidP="00A412E6">
      <w:pPr>
        <w:ind w:firstLine="0"/>
        <w:rPr>
          <w:rFonts w:ascii="Times New Roman" w:hAnsi="Times New Roman"/>
          <w:sz w:val="28"/>
          <w:szCs w:val="28"/>
        </w:rPr>
      </w:pPr>
    </w:p>
    <w:sectPr w:rsidR="00FF6095" w:rsidRPr="00FF6095" w:rsidSect="00FF6095">
      <w:pgSz w:w="11906" w:h="16838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4EA" w:rsidRDefault="00EA74EA">
      <w:pPr>
        <w:spacing w:line="240" w:lineRule="auto"/>
      </w:pPr>
      <w:r>
        <w:separator/>
      </w:r>
    </w:p>
  </w:endnote>
  <w:endnote w:type="continuationSeparator" w:id="0">
    <w:p w:rsidR="00EA74EA" w:rsidRDefault="00EA74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4EA" w:rsidRDefault="00EA74E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EA74EA" w:rsidRDefault="00EA74E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030D"/>
    <w:rsid w:val="006C030D"/>
    <w:rsid w:val="008F26FF"/>
    <w:rsid w:val="00A412E6"/>
    <w:rsid w:val="00EA74EA"/>
    <w:rsid w:val="00FF6095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List Paragraph"/>
    <w:basedOn w:val="a"/>
    <w:pPr>
      <w:spacing w:line="240" w:lineRule="auto"/>
      <w:ind w:left="720"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character" w:styleId="a5">
    <w:name w:val="FollowedHyperlink"/>
    <w:basedOn w:val="a0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List Paragraph"/>
    <w:basedOn w:val="a"/>
    <w:pPr>
      <w:spacing w:line="240" w:lineRule="auto"/>
      <w:ind w:left="720"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character" w:styleId="a5">
    <w:name w:val="FollowedHyperlink"/>
    <w:basedOn w:val="a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44EBD-3469-4D01-A507-9A3D6BB6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dc:description/>
  <cp:lastModifiedBy>днс</cp:lastModifiedBy>
  <cp:revision>4</cp:revision>
  <cp:lastPrinted>2017-10-08T18:17:00Z</cp:lastPrinted>
  <dcterms:created xsi:type="dcterms:W3CDTF">2021-12-17T07:37:00Z</dcterms:created>
  <dcterms:modified xsi:type="dcterms:W3CDTF">2024-03-22T13:15:00Z</dcterms:modified>
</cp:coreProperties>
</file>